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Fuchs Charles 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CYTOMX THERAPEUTICS,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151 OYSTER POINT BLVD., STE.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07/24/2026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CytomX Therapeutics, Inc.</w:t>
              </w:r>
            </w:hyperlink>
            <w:r>
              <w:rPr/>
              <w:t xml:space="preserve"> [ </w:t>
            </w:r>
            <w:r>
              <w:rPr>
                <w:rFonts w:ascii="Times;serif" w:hAnsi="Times;serif"/>
                <w:color w:val="0000FF"/>
                <w:sz w:val="24"/>
                <w:shd w:fill="FFFFFF" w:val="clear"/>
              </w:rPr>
              <w:t>CTMX</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Christopher Ogden, as Attorney-in-Fact for Charles S. Fuchs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8" w:after="283"/>
        <w:jc w:val="left"/>
        <w:rPr/>
      </w:pPr>
      <w:bookmarkStart w:id="2" w:name="charlesfuchs_poa.htm"/>
      <w:bookmarkStart w:id="3" w:name="kscharlesfuchs_poa"/>
      <w:bookmarkEnd w:id="2"/>
      <w:bookmarkEnd w:id="3"/>
      <w:r>
        <w:rPr/>
        <w:t xml:space="preserve">  </w:t>
      </w:r>
      <w:r>
        <w:br w:type="page"/>
      </w:r>
    </w:p>
    <w:p>
      <w:pPr>
        <w:pStyle w:val="TextBody"/>
        <w:bidi w:val="0"/>
        <w:spacing w:before="0" w:after="0"/>
        <w:ind w:left="1080" w:right="0" w:hanging="0"/>
        <w:jc w:val="left"/>
        <w:rPr/>
      </w:pPr>
      <w:r>
        <w:rPr/>
        <w:t xml:space="preserve">  </w:t>
      </w:r>
    </w:p>
    <w:p>
      <w:pPr>
        <w:pStyle w:val="TextBody"/>
        <w:bidi w:val="0"/>
        <w:spacing w:before="112" w:after="283"/>
        <w:ind w:left="714" w:right="720" w:hanging="0"/>
        <w:jc w:val="center"/>
        <w:rPr>
          <w:b/>
          <w:sz w:val="24"/>
        </w:rPr>
      </w:pPr>
      <w:r>
        <w:rPr>
          <w:b/>
          <w:sz w:val="24"/>
        </w:rPr>
        <w:t xml:space="preserve">POWER OF ATTORNEY </w:t>
      </w:r>
    </w:p>
    <w:p>
      <w:pPr>
        <w:pStyle w:val="TextBody"/>
        <w:bidi w:val="0"/>
        <w:spacing w:before="237" w:after="283"/>
        <w:ind w:left="1080" w:right="270" w:firstLine="720"/>
        <w:jc w:val="left"/>
        <w:rPr>
          <w:sz w:val="21"/>
        </w:rPr>
      </w:pPr>
      <w:r>
        <w:rPr>
          <w:sz w:val="21"/>
        </w:rPr>
        <w:t>Know all by these presents, that the undersigned hereby constitutes and appoints each of (i) the Chief Executive Officer of CytomX Therapeutics, Inc., a Delaware corporation (the “</w:t>
      </w:r>
      <w:r>
        <w:rPr>
          <w:b/>
          <w:sz w:val="21"/>
        </w:rPr>
        <w:t>Company</w:t>
      </w:r>
      <w:r>
        <w:rPr>
          <w:sz w:val="21"/>
        </w:rPr>
        <w:t xml:space="preserve">”), who is currently Sean McCarthy, D.Phil., (ii) the Company’s Chief Financial Officer, who is currently Christopher W. Ogden, and (iii) the Company’s General Counsel, who, as of August 3, 2026, shall be Alejandra Carvajal, and their respective successors, signing singly, with full power of substitution, as the undersigned's true and lawful attorney-in-fact to: </w:t>
      </w:r>
    </w:p>
    <w:p>
      <w:pPr>
        <w:pStyle w:val="TextBody"/>
        <w:bidi w:val="0"/>
        <w:spacing w:before="0" w:after="0"/>
        <w:ind w:left="0" w:right="270" w:hanging="0"/>
        <w:jc w:val="left"/>
        <w:rPr/>
      </w:pPr>
      <w:r>
        <w:rPr/>
        <w:t xml:space="preserve">  </w:t>
      </w:r>
    </w:p>
    <w:p>
      <w:pPr>
        <w:pStyle w:val="TextBody"/>
        <w:bidi w:val="0"/>
        <w:spacing w:before="0" w:after="0"/>
        <w:ind w:left="1853" w:right="270" w:hanging="0"/>
        <w:jc w:val="left"/>
        <w:rPr>
          <w:sz w:val="21"/>
        </w:rPr>
      </w:pPr>
      <w:r>
        <w:rPr>
          <w:sz w:val="21"/>
        </w:rPr>
        <w:t xml:space="preserve">(1) </w:t>
      </w:r>
    </w:p>
    <w:p>
      <w:pPr>
        <w:pStyle w:val="TextBody"/>
        <w:bidi w:val="0"/>
        <w:spacing w:before="0" w:after="0"/>
        <w:ind w:left="2521" w:right="270" w:hanging="0"/>
        <w:jc w:val="left"/>
        <w:rPr>
          <w:sz w:val="21"/>
        </w:rPr>
      </w:pPr>
      <w:r>
        <w:rPr>
          <w:sz w:val="21"/>
        </w:rPr>
        <w:t xml:space="preserve">execute for and on behalf of the undersigned, in the undersigned’s capacity as an officer and/or director of the Company, Forms 3, 4 and 5 (including amendments thereto) in accordance with Section 16(a) of the Securities Exchange Act of 1934 and the rules and regulations thereunder and a Form ID, Uniform Application for Access Codes to File on EDGAR; </w:t>
      </w:r>
    </w:p>
    <w:p>
      <w:pPr>
        <w:pStyle w:val="TextBody"/>
        <w:bidi w:val="0"/>
        <w:spacing w:before="1" w:after="283"/>
        <w:ind w:left="0" w:right="270" w:hanging="0"/>
        <w:jc w:val="left"/>
        <w:rPr/>
      </w:pPr>
      <w:r>
        <w:rPr/>
        <w:t xml:space="preserve">  </w:t>
      </w:r>
    </w:p>
    <w:p>
      <w:pPr>
        <w:pStyle w:val="TextBody"/>
        <w:bidi w:val="0"/>
        <w:spacing w:before="0" w:after="0"/>
        <w:ind w:left="1801" w:right="270" w:hanging="0"/>
        <w:jc w:val="left"/>
        <w:rPr>
          <w:sz w:val="21"/>
        </w:rPr>
      </w:pPr>
      <w:r>
        <w:rPr>
          <w:sz w:val="21"/>
        </w:rPr>
        <w:t xml:space="preserve">(2) </w:t>
      </w:r>
    </w:p>
    <w:p>
      <w:pPr>
        <w:pStyle w:val="TextBody"/>
        <w:bidi w:val="0"/>
        <w:spacing w:before="0" w:after="0"/>
        <w:ind w:left="2469" w:right="270" w:hanging="0"/>
        <w:jc w:val="left"/>
        <w:rPr>
          <w:sz w:val="21"/>
        </w:rPr>
      </w:pPr>
      <w:r>
        <w:rPr>
          <w:sz w:val="21"/>
        </w:rPr>
        <w:t xml:space="preserve">do and perform any and all acts for and on behalf of the undersigned which may be necessary or desirable to complete and execute any such Forms 3, 4 or 5 or Form ID and timely file such forms (including amendments thereto) and application with the United States Securities and Exchange Commission and any stock exchange or similar authority; and </w:t>
      </w:r>
    </w:p>
    <w:p>
      <w:pPr>
        <w:pStyle w:val="TextBody"/>
        <w:bidi w:val="0"/>
        <w:spacing w:before="239" w:after="283"/>
        <w:ind w:left="1801" w:right="270" w:hanging="0"/>
        <w:jc w:val="left"/>
        <w:rPr>
          <w:sz w:val="21"/>
        </w:rPr>
      </w:pPr>
      <w:r>
        <w:rPr>
          <w:sz w:val="21"/>
        </w:rPr>
        <w:t xml:space="preserve">(3) </w:t>
      </w:r>
    </w:p>
    <w:p>
      <w:pPr>
        <w:pStyle w:val="TextBody"/>
        <w:bidi w:val="0"/>
        <w:spacing w:before="239" w:after="283"/>
        <w:ind w:left="2469" w:right="270" w:hanging="0"/>
        <w:jc w:val="left"/>
        <w:rPr>
          <w:sz w:val="21"/>
        </w:rPr>
      </w:pPr>
      <w:r>
        <w:rPr>
          <w:sz w:val="21"/>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0"/>
        <w:ind w:left="0" w:right="270" w:hanging="0"/>
        <w:jc w:val="left"/>
        <w:rPr/>
      </w:pPr>
      <w:r>
        <w:rPr/>
        <w:t xml:space="preserve">  </w:t>
      </w:r>
    </w:p>
    <w:p>
      <w:pPr>
        <w:pStyle w:val="TextBody"/>
        <w:bidi w:val="0"/>
        <w:spacing w:before="0" w:after="0"/>
        <w:ind w:left="1080" w:right="270" w:firstLine="720"/>
        <w:jc w:val="left"/>
        <w:rPr>
          <w:sz w:val="21"/>
        </w:rPr>
      </w:pPr>
      <w:r>
        <w:rPr>
          <w:sz w:val="21"/>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w:t>
      </w:r>
    </w:p>
    <w:p>
      <w:pPr>
        <w:pStyle w:val="TextBody"/>
        <w:bidi w:val="0"/>
        <w:spacing w:before="0" w:after="0"/>
        <w:ind w:left="0" w:right="270" w:hanging="0"/>
        <w:jc w:val="left"/>
        <w:rPr/>
      </w:pPr>
      <w:r>
        <w:rPr/>
        <w:t xml:space="preserve">  </w:t>
      </w:r>
    </w:p>
    <w:p>
      <w:pPr>
        <w:pStyle w:val="TextBody"/>
        <w:bidi w:val="0"/>
        <w:spacing w:before="1" w:after="283"/>
        <w:ind w:left="1080" w:right="270" w:firstLine="720"/>
        <w:jc w:val="left"/>
        <w:rPr>
          <w:sz w:val="21"/>
        </w:rPr>
      </w:pPr>
      <w:r>
        <w:rPr>
          <w:sz w:val="21"/>
        </w:rPr>
        <w:t xml:space="preserve">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or 5 (including amendments thereto) or Form ID and agrees to reimburse the Company and such attorney-in-fact for any legal or other expenses reasonably incurred in connection with investigating or defending against any such loss, claim, damage, liability or action. </w:t>
      </w:r>
    </w:p>
    <w:p>
      <w:pPr>
        <w:pStyle w:val="TextBody"/>
        <w:bidi w:val="0"/>
        <w:spacing w:before="67" w:after="283"/>
        <w:ind w:left="0" w:right="270" w:hanging="0"/>
        <w:jc w:val="left"/>
        <w:rPr/>
      </w:pPr>
      <w:r>
        <w:rPr/>
        <w:t xml:space="preserve">  </w:t>
      </w:r>
    </w:p>
    <w:p>
      <w:pPr>
        <w:pStyle w:val="TextBody"/>
        <w:bidi w:val="0"/>
        <w:spacing w:lineRule="auto" w:line="283" w:before="1" w:after="283"/>
        <w:ind w:left="1080" w:right="270" w:firstLine="720"/>
        <w:jc w:val="left"/>
        <w:rPr>
          <w:sz w:val="21"/>
        </w:rPr>
      </w:pPr>
      <w:r>
        <w:rPr>
          <w:sz w:val="21"/>
        </w:rPr>
        <w:t>This Power of Attorney supersedes any power of attorney previously executed by the undersigned regarding the purposes outlined in the first paragraph hereof (“</w:t>
      </w:r>
      <w:r>
        <w:rPr>
          <w:b/>
          <w:i/>
          <w:sz w:val="21"/>
        </w:rPr>
        <w:t>Prior Powers of Attorney</w:t>
      </w:r>
      <w:r>
        <w:rPr>
          <w:sz w:val="21"/>
        </w:rPr>
        <w:t xml:space="preserve">”), and the authority of the attorneys-in-fact named in any Prior Powers of Attorney is hereby revoked. </w:t>
      </w:r>
    </w:p>
    <w:p>
      <w:pPr>
        <w:pStyle w:val="TextBody"/>
        <w:bidi w:val="0"/>
        <w:spacing w:lineRule="auto" w:line="283" w:before="1" w:after="283"/>
        <w:ind w:left="1080" w:right="720" w:hanging="0"/>
        <w:jc w:val="left"/>
        <w:rPr/>
      </w:pPr>
      <w:r>
        <w:rPr/>
        <w:t xml:space="preserve">  </w:t>
      </w:r>
    </w:p>
    <w:p>
      <w:pPr>
        <w:pStyle w:val="TextBody"/>
        <w:bidi w:val="0"/>
        <w:spacing w:lineRule="auto" w:line="283" w:before="1" w:after="283"/>
        <w:ind w:left="1080" w:right="315" w:firstLine="720"/>
        <w:jc w:val="left"/>
        <w:rPr>
          <w:sz w:val="21"/>
        </w:rPr>
      </w:pPr>
      <w:r>
        <w:rPr>
          <w:sz w:val="21"/>
        </w:rPr>
        <w:t xml:space="preserve">This Power of Attorney shall remain in full force and effect until the undersigned is no longer required to file Forms 3, 4 or 5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 first paragraph hereof dated as of a later date. </w:t>
      </w:r>
    </w:p>
    <w:p>
      <w:pPr>
        <w:pStyle w:val="TextBody"/>
        <w:bidi w:val="0"/>
        <w:spacing w:before="240" w:after="283"/>
        <w:ind w:left="1080" w:right="315" w:hanging="0"/>
        <w:jc w:val="left"/>
        <w:rPr>
          <w:sz w:val="21"/>
        </w:rPr>
      </w:pPr>
      <w:r>
        <w:rPr>
          <w:sz w:val="21"/>
        </w:rPr>
        <w:t>IN WITNESS WHEREOF, the undersigned has caused this Power of Attorney to be executed as of this 24</w:t>
      </w:r>
      <w:r>
        <w:rPr>
          <w:position w:val="7"/>
          <w:sz w:val="17"/>
          <w:sz w:val="21"/>
        </w:rPr>
        <w:t>th</w:t>
      </w:r>
      <w:r>
        <w:rPr>
          <w:sz w:val="21"/>
        </w:rPr>
        <w:t xml:space="preserve"> day of July 2026. </w:t>
      </w:r>
    </w:p>
    <w:p>
      <w:pPr>
        <w:pStyle w:val="TextBody"/>
        <w:bidi w:val="0"/>
        <w:spacing w:before="0" w:after="0"/>
        <w:jc w:val="left"/>
        <w:rPr/>
      </w:pPr>
      <w:r>
        <w:rPr/>
        <w:t xml:space="preserve">  </w:t>
      </w:r>
    </w:p>
    <w:p>
      <w:pPr>
        <w:pStyle w:val="TextBody"/>
        <w:bidi w:val="0"/>
        <w:spacing w:before="240" w:after="283"/>
        <w:ind w:left="0" w:right="0" w:firstLine="6840"/>
        <w:jc w:val="left"/>
        <w:rPr>
          <w:sz w:val="21"/>
        </w:rPr>
      </w:pPr>
      <w:r>
        <w:rPr>
          <w:sz w:val="21"/>
          <w:u w:val="single"/>
        </w:rPr>
        <w:t>/s/ Charles Fuchs, MD, MPH, FACP</w:t>
      </w:r>
      <w:r>
        <w:rPr>
          <w:sz w:val="21"/>
        </w:rPr>
        <w:t xml:space="preserve"> </w:t>
      </w:r>
    </w:p>
    <w:p>
      <w:pPr>
        <w:pStyle w:val="TextBody"/>
        <w:bidi w:val="0"/>
        <w:spacing w:before="0" w:after="0"/>
        <w:ind w:left="6842" w:right="0" w:hanging="0"/>
        <w:jc w:val="left"/>
        <w:rPr>
          <w:sz w:val="21"/>
        </w:rPr>
      </w:pPr>
      <w:r>
        <w:rPr>
          <w:sz w:val="21"/>
        </w:rPr>
        <w:t xml:space="preserve">Charles Fuchs MD, MPH, FACP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719576" TargetMode="External"/><Relationship Id="rId3" Type="http://schemas.openxmlformats.org/officeDocument/2006/relationships/hyperlink" Target="http://www.sec.gov/cgi-bin/browse-edgar?action=getcompany&amp;CIK=000150198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1121</Words>
  <Characters>6036</Characters>
  <CharactersWithSpaces>7129</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